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sz w:val="44"/>
          <w:szCs w:val="44"/>
        </w:rPr>
      </w:pPr>
      <w:r>
        <w:rPr>
          <w:rFonts w:hint="eastAsia" w:ascii="方正小标宋_GBK" w:eastAsia="方正小标宋_GBK"/>
          <w:sz w:val="44"/>
          <w:szCs w:val="44"/>
        </w:rPr>
        <w:t>泸县综合行政执法局202</w:t>
      </w:r>
      <w:r>
        <w:rPr>
          <w:rFonts w:hint="eastAsia" w:ascii="方正小标宋_GBK" w:eastAsia="方正小标宋_GBK"/>
          <w:sz w:val="44"/>
          <w:szCs w:val="44"/>
          <w:lang w:val="en-US" w:eastAsia="zh-CN"/>
        </w:rPr>
        <w:t>1</w:t>
      </w:r>
      <w:r>
        <w:rPr>
          <w:rFonts w:hint="eastAsia" w:ascii="方正小标宋_GBK" w:eastAsia="方正小标宋_GBK"/>
          <w:sz w:val="44"/>
          <w:szCs w:val="44"/>
        </w:rPr>
        <w:t>年</w:t>
      </w:r>
      <w:r>
        <w:rPr>
          <w:rFonts w:hint="eastAsia" w:ascii="方正小标宋_GBK" w:eastAsia="方正小标宋_GBK"/>
          <w:sz w:val="44"/>
          <w:szCs w:val="44"/>
          <w:lang w:val="en-US" w:eastAsia="zh-CN"/>
        </w:rPr>
        <w:t>2</w:t>
      </w:r>
      <w:r>
        <w:rPr>
          <w:rFonts w:hint="eastAsia" w:ascii="方正小标宋_GBK" w:eastAsia="方正小标宋_GBK"/>
          <w:sz w:val="44"/>
          <w:szCs w:val="44"/>
        </w:rPr>
        <w:t>月</w:t>
      </w:r>
      <w:r>
        <w:rPr>
          <w:rFonts w:hint="eastAsia" w:ascii="方正小标宋_GBK" w:eastAsia="方正小标宋_GBK"/>
          <w:sz w:val="44"/>
          <w:szCs w:val="44"/>
          <w:lang w:eastAsia="zh-CN"/>
        </w:rPr>
        <w:t>第一批</w:t>
      </w:r>
      <w:r>
        <w:rPr>
          <w:rFonts w:hint="eastAsia" w:ascii="方正小标宋_GBK" w:eastAsia="方正小标宋_GBK"/>
          <w:sz w:val="44"/>
          <w:szCs w:val="44"/>
        </w:rPr>
        <w:t>行政处罚案件信息公开表</w:t>
      </w:r>
    </w:p>
    <w:p>
      <w:bookmarkStart w:id="0" w:name="_GoBack"/>
      <w:bookmarkEnd w:id="0"/>
    </w:p>
    <w:tbl>
      <w:tblPr>
        <w:tblStyle w:val="6"/>
        <w:tblW w:w="13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94"/>
        <w:gridCol w:w="1230"/>
        <w:gridCol w:w="2303"/>
        <w:gridCol w:w="2650"/>
        <w:gridCol w:w="1496"/>
        <w:gridCol w:w="2097"/>
        <w:gridCol w:w="1960"/>
        <w:gridCol w:w="1295"/>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44" w:hRule="atLeast"/>
          <w:tblHeader/>
        </w:trPr>
        <w:tc>
          <w:tcPr>
            <w:tcW w:w="394"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序号</w:t>
            </w:r>
          </w:p>
        </w:tc>
        <w:tc>
          <w:tcPr>
            <w:tcW w:w="1230"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行政处罚决定文书号</w:t>
            </w:r>
          </w:p>
        </w:tc>
        <w:tc>
          <w:tcPr>
            <w:tcW w:w="2303"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案件名称</w:t>
            </w:r>
          </w:p>
        </w:tc>
        <w:tc>
          <w:tcPr>
            <w:tcW w:w="2650"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违法企业名称或违法自然人统一社会信用代码</w:t>
            </w:r>
          </w:p>
        </w:tc>
        <w:tc>
          <w:tcPr>
            <w:tcW w:w="1496"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处罚事由</w:t>
            </w:r>
          </w:p>
        </w:tc>
        <w:tc>
          <w:tcPr>
            <w:tcW w:w="2097"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行政处罚结果和依据</w:t>
            </w:r>
          </w:p>
        </w:tc>
        <w:tc>
          <w:tcPr>
            <w:tcW w:w="1960"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救济渠道</w:t>
            </w:r>
          </w:p>
        </w:tc>
        <w:tc>
          <w:tcPr>
            <w:tcW w:w="1295"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作出处罚的日期</w:t>
            </w:r>
          </w:p>
        </w:tc>
        <w:tc>
          <w:tcPr>
            <w:tcW w:w="561"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w:t>
            </w:r>
          </w:p>
        </w:tc>
        <w:tc>
          <w:tcPr>
            <w:tcW w:w="123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泸县综执罚〔2021〕第1号</w:t>
            </w:r>
          </w:p>
        </w:tc>
        <w:tc>
          <w:tcPr>
            <w:tcW w:w="2303"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攀枝花市仁和现代建设集团有限公司在泸县玉蟾街道草街龙城·世纪家园项目中未按照规定免费为从业人员提供符合国家标准或者行业标准的劳动防护用品、用具，或未教育、督促从业人员正确佩戴、使用案</w:t>
            </w:r>
          </w:p>
        </w:tc>
        <w:tc>
          <w:tcPr>
            <w:tcW w:w="2650"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攀枝花市仁和现代建设集团有限公司统一社会信用代码:91510400709191414Q</w:t>
            </w:r>
          </w:p>
        </w:tc>
        <w:tc>
          <w:tcPr>
            <w:tcW w:w="1496"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未教育、督促从业人员正确佩戴、使用劳动防护用品、用具</w:t>
            </w:r>
          </w:p>
        </w:tc>
        <w:tc>
          <w:tcPr>
            <w:tcW w:w="2097"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依据《四川省安全生产条例》第六十九条对攀枝花市仁和现代建设集团有限公司处7000元的罚款</w:t>
            </w:r>
          </w:p>
        </w:tc>
        <w:tc>
          <w:tcPr>
            <w:tcW w:w="196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60日内向泸州市城市管理行政执法局或泸县人民政府申请行政复议，或者在收到本决定书之日起6个月内向泸县人民法院起诉</w:t>
            </w:r>
          </w:p>
        </w:tc>
        <w:tc>
          <w:tcPr>
            <w:tcW w:w="1295"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2021/2/3</w:t>
            </w:r>
          </w:p>
        </w:tc>
        <w:tc>
          <w:tcPr>
            <w:tcW w:w="561" w:type="dxa"/>
            <w:shd w:val="clear" w:color="auto" w:fill="auto"/>
            <w:vAlign w:val="center"/>
          </w:tcPr>
          <w:p>
            <w:pPr>
              <w:jc w:val="both"/>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w:t>
            </w:r>
          </w:p>
        </w:tc>
        <w:tc>
          <w:tcPr>
            <w:tcW w:w="123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泸县综执罚〔2021〕第2号</w:t>
            </w:r>
          </w:p>
        </w:tc>
        <w:tc>
          <w:tcPr>
            <w:tcW w:w="2303"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泸县兆雅运输加油站在泸县兆雅镇街村加油站办公楼建设项目中未取得建设工程规划许可证进行建设案</w:t>
            </w:r>
          </w:p>
        </w:tc>
        <w:tc>
          <w:tcPr>
            <w:tcW w:w="2650"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泸县兆雅运输加油站统一社会信用代码:915105216783806000</w:t>
            </w:r>
          </w:p>
        </w:tc>
        <w:tc>
          <w:tcPr>
            <w:tcW w:w="1496"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未取得建设工程规划许可证进行建设</w:t>
            </w:r>
          </w:p>
        </w:tc>
        <w:tc>
          <w:tcPr>
            <w:tcW w:w="2097"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依据《中华人民共和国城乡规划法》第六十四条对泸县兆雅运输加油站罚款人民币18690.00元（大写：壹万捌仟陆佰玖拾元）的行政处罚</w:t>
            </w:r>
          </w:p>
        </w:tc>
        <w:tc>
          <w:tcPr>
            <w:tcW w:w="1960"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60日内向泸州市城市管理行政执法局或泸县人民政府申请行政复议，或者在收到本决定书之日起7个月内向泸县人民法院起诉</w:t>
            </w:r>
          </w:p>
        </w:tc>
        <w:tc>
          <w:tcPr>
            <w:tcW w:w="1295"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2021/2/1</w:t>
            </w:r>
          </w:p>
        </w:tc>
        <w:tc>
          <w:tcPr>
            <w:tcW w:w="561" w:type="dxa"/>
            <w:shd w:val="clear" w:color="auto" w:fill="auto"/>
            <w:vAlign w:val="center"/>
          </w:tcPr>
          <w:p>
            <w:pPr>
              <w:jc w:val="both"/>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w:t>
            </w:r>
          </w:p>
        </w:tc>
        <w:tc>
          <w:tcPr>
            <w:tcW w:w="123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泸县综执罚〔2021〕第3号</w:t>
            </w:r>
          </w:p>
        </w:tc>
        <w:tc>
          <w:tcPr>
            <w:tcW w:w="2303"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四川博咨工程项目管理有限公司涉嫌在泸县冱水路东段315号和喜·龙城壹号院项目中未建立危大工程安全管理档案资料案</w:t>
            </w:r>
          </w:p>
        </w:tc>
        <w:tc>
          <w:tcPr>
            <w:tcW w:w="2650"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四川博咨工程项目管理有限公司统一社会信用代码:9151070374468269XA</w:t>
            </w:r>
          </w:p>
        </w:tc>
        <w:tc>
          <w:tcPr>
            <w:tcW w:w="1496"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未建立危大工程安全管理档案资料</w:t>
            </w:r>
          </w:p>
        </w:tc>
        <w:tc>
          <w:tcPr>
            <w:tcW w:w="2097"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依据《危险性较大的分部分项工程安全管理规定》第三十七条第四项对四川博咨工程项目管理有限公司罚款人民币16000.00元（大写：壹万陆仟元整）的行政处罚</w:t>
            </w:r>
          </w:p>
        </w:tc>
        <w:tc>
          <w:tcPr>
            <w:tcW w:w="1960"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60日内向泸州市城市管理行政执法局或泸县人民政府申请行政复议，或者在收到本决定书之日起8个月内向泸县人民法院起诉</w:t>
            </w:r>
          </w:p>
        </w:tc>
        <w:tc>
          <w:tcPr>
            <w:tcW w:w="1295"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2021/2/3</w:t>
            </w:r>
          </w:p>
        </w:tc>
        <w:tc>
          <w:tcPr>
            <w:tcW w:w="561" w:type="dxa"/>
            <w:shd w:val="clear" w:color="auto" w:fill="auto"/>
            <w:vAlign w:val="center"/>
          </w:tcPr>
          <w:p>
            <w:pPr>
              <w:jc w:val="both"/>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w:t>
            </w:r>
          </w:p>
        </w:tc>
        <w:tc>
          <w:tcPr>
            <w:tcW w:w="123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泸县综执罚〔2021〕第4号</w:t>
            </w:r>
          </w:p>
        </w:tc>
        <w:tc>
          <w:tcPr>
            <w:tcW w:w="2303"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四川博咨工程项目管理有限公司涉嫌在泸县冱水路东段315号和喜·龙城壹号院项目中未建立危大工程安全管理档案资料案</w:t>
            </w:r>
          </w:p>
        </w:tc>
        <w:tc>
          <w:tcPr>
            <w:tcW w:w="2650"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李志刚，身份证号码：51900219********33</w:t>
            </w:r>
          </w:p>
        </w:tc>
        <w:tc>
          <w:tcPr>
            <w:tcW w:w="1496"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未建立危大工程安全管理档案资料，属于直接负责的主管人员案</w:t>
            </w:r>
          </w:p>
        </w:tc>
        <w:tc>
          <w:tcPr>
            <w:tcW w:w="2097"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依据《危险性较大的分部分项工程安全管理规定》第三十七条第四项对李志刚罚款人民币1500.00元（大写：壹仟伍佰元整）的行政处罚</w:t>
            </w:r>
          </w:p>
        </w:tc>
        <w:tc>
          <w:tcPr>
            <w:tcW w:w="1960"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60日内向泸州市城市管理行政执法局或泸县人民政府申请行政复议，或者在收到本决定书之日起9个月内向泸县人民法院起诉</w:t>
            </w:r>
          </w:p>
        </w:tc>
        <w:tc>
          <w:tcPr>
            <w:tcW w:w="1295"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2021/2/3</w:t>
            </w:r>
          </w:p>
        </w:tc>
        <w:tc>
          <w:tcPr>
            <w:tcW w:w="561" w:type="dxa"/>
            <w:shd w:val="clear" w:color="auto" w:fill="auto"/>
            <w:vAlign w:val="center"/>
          </w:tcPr>
          <w:p>
            <w:pPr>
              <w:jc w:val="both"/>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w:t>
            </w:r>
          </w:p>
        </w:tc>
        <w:tc>
          <w:tcPr>
            <w:tcW w:w="123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泸县综执罚〔2021〕第5号</w:t>
            </w:r>
          </w:p>
        </w:tc>
        <w:tc>
          <w:tcPr>
            <w:tcW w:w="2303"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四川康润集团建筑安装工程有限公司项目负责人彭彬在泸县玉蟾街道玉蟾大道738号交投·博雅原筑项目中未到岗履职案</w:t>
            </w:r>
          </w:p>
        </w:tc>
        <w:tc>
          <w:tcPr>
            <w:tcW w:w="2650"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四川康润集团建筑安装工程有限公司统一社会信用代码:91510521204868207X</w:t>
            </w:r>
          </w:p>
        </w:tc>
        <w:tc>
          <w:tcPr>
            <w:tcW w:w="1496"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项目负责人未按照本规定现场履职</w:t>
            </w:r>
          </w:p>
        </w:tc>
        <w:tc>
          <w:tcPr>
            <w:tcW w:w="2097"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依据《危险性较大的分部分项工程安全管理规定》第三十五条第一项对四川康润集团建筑安装工程有限公司罚款人民币20000.00元（大写：贰万元整）的行政处罚</w:t>
            </w:r>
          </w:p>
        </w:tc>
        <w:tc>
          <w:tcPr>
            <w:tcW w:w="1960"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60日内向泸州市城市管理行政执法局或泸县人民政府申请行政复议，或者在收到本决定书之日起10个月内向泸县人民法院起诉</w:t>
            </w:r>
          </w:p>
        </w:tc>
        <w:tc>
          <w:tcPr>
            <w:tcW w:w="1295"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2021/2/3</w:t>
            </w:r>
          </w:p>
        </w:tc>
        <w:tc>
          <w:tcPr>
            <w:tcW w:w="561" w:type="dxa"/>
            <w:shd w:val="clear" w:color="auto" w:fill="auto"/>
            <w:vAlign w:val="center"/>
          </w:tcPr>
          <w:p>
            <w:pPr>
              <w:jc w:val="both"/>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w:t>
            </w:r>
          </w:p>
        </w:tc>
        <w:tc>
          <w:tcPr>
            <w:tcW w:w="123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泸县综执罚〔2021〕第6号</w:t>
            </w:r>
          </w:p>
        </w:tc>
        <w:tc>
          <w:tcPr>
            <w:tcW w:w="2303"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四川康润集团建筑安装工程有限公司项目负责人彭彬在泸县玉蟾街道玉蟾大道738号交投·博雅原筑项目中未到岗履职，彭彬在该项目担任项目负责人，属于直接负责的主管人员案</w:t>
            </w:r>
          </w:p>
        </w:tc>
        <w:tc>
          <w:tcPr>
            <w:tcW w:w="2650"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彭彬，身份证号码：51052119********97</w:t>
            </w:r>
          </w:p>
        </w:tc>
        <w:tc>
          <w:tcPr>
            <w:tcW w:w="1496"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项目负责人未按照规定现场履职，彭彬在该项目担任项目负责人</w:t>
            </w:r>
          </w:p>
        </w:tc>
        <w:tc>
          <w:tcPr>
            <w:tcW w:w="2097" w:type="dxa"/>
            <w:shd w:val="clear" w:color="auto" w:fill="auto"/>
            <w:vAlign w:val="center"/>
          </w:tcPr>
          <w:p>
            <w:pPr>
              <w:jc w:val="both"/>
              <w:rPr>
                <w:rFonts w:hint="eastAsia" w:ascii="仿宋_GB2312" w:hAnsi="仿宋_GB2312" w:eastAsia="仿宋_GB2312" w:cs="仿宋_GB2312"/>
                <w:lang w:val="en-US"/>
              </w:rPr>
            </w:pPr>
            <w:r>
              <w:rPr>
                <w:rFonts w:hint="eastAsia" w:ascii="仿宋_GB2312" w:hAnsi="仿宋_GB2312" w:eastAsia="仿宋_GB2312" w:cs="仿宋_GB2312"/>
                <w:lang w:val="en-US" w:eastAsia="zh-CN"/>
              </w:rPr>
              <w:t>依据《危险性较大的分部分项工程安全管理规定》第三十五条第一项对彭彬罚款人民币3500.00元（大写：叁仟伍佰元整）的行政处罚</w:t>
            </w:r>
          </w:p>
        </w:tc>
        <w:tc>
          <w:tcPr>
            <w:tcW w:w="196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60日内向泸州市城市管理行政执法局或泸县人民政府申请行政复议，或者在收到本决定书之日起11个月内向泸县人民法院起诉</w:t>
            </w:r>
          </w:p>
        </w:tc>
        <w:tc>
          <w:tcPr>
            <w:tcW w:w="1295"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2021/2/3</w:t>
            </w:r>
          </w:p>
        </w:tc>
        <w:tc>
          <w:tcPr>
            <w:tcW w:w="561" w:type="dxa"/>
            <w:shd w:val="clear" w:color="auto" w:fill="auto"/>
            <w:vAlign w:val="center"/>
          </w:tcPr>
          <w:p>
            <w:pPr>
              <w:jc w:val="both"/>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w:t>
            </w:r>
          </w:p>
        </w:tc>
        <w:tc>
          <w:tcPr>
            <w:tcW w:w="123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泸县综执罚〔2021〕第7号</w:t>
            </w:r>
          </w:p>
        </w:tc>
        <w:tc>
          <w:tcPr>
            <w:tcW w:w="2303"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泸县睿鑫建筑机械安装有限公司在泸县龙脑大道北段76号泸县教育系统标准化提升工程城北幼儿园项目中未将建筑起重机械安装、拆卸工程专项施工方案，安装、拆卸人员名单，安装、拆卸时间等材料报施工总承包单位和监理单位审核后，告知工程所在地县级以上地方人民政府建设主管部门案</w:t>
            </w:r>
          </w:p>
        </w:tc>
        <w:tc>
          <w:tcPr>
            <w:tcW w:w="2650" w:type="dxa"/>
            <w:shd w:val="clear" w:color="auto" w:fill="auto"/>
            <w:vAlign w:val="center"/>
          </w:tcPr>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泸县睿鑫建筑机械安装有限公司统一社会信用代码:91510521MA62244U23</w:t>
            </w:r>
          </w:p>
        </w:tc>
        <w:tc>
          <w:tcPr>
            <w:tcW w:w="1496"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未将建筑起重机械安装、拆卸工程专项施工方案，安装、拆卸人员名单，安装、拆卸时间等材料报施工总承包单位和监理单位审核后，告知工程所在地县级以上地方人民政府建设主管部门</w:t>
            </w:r>
          </w:p>
        </w:tc>
        <w:tc>
          <w:tcPr>
            <w:tcW w:w="2097" w:type="dxa"/>
            <w:shd w:val="clear" w:color="auto" w:fill="auto"/>
            <w:vAlign w:val="center"/>
          </w:tcPr>
          <w:p>
            <w:pPr>
              <w:jc w:val="both"/>
              <w:rPr>
                <w:rFonts w:hint="eastAsia" w:ascii="仿宋_GB2312" w:hAnsi="仿宋_GB2312" w:eastAsia="仿宋_GB2312" w:cs="仿宋_GB2312"/>
                <w:lang w:val="en-US"/>
              </w:rPr>
            </w:pPr>
            <w:r>
              <w:rPr>
                <w:rFonts w:hint="eastAsia" w:ascii="仿宋_GB2312" w:hAnsi="仿宋_GB2312" w:eastAsia="仿宋_GB2312" w:cs="仿宋_GB2312"/>
                <w:lang w:val="en-US" w:eastAsia="zh-CN"/>
              </w:rPr>
              <w:t>依据《建筑起重机械安全监督管理规定》第二十九条第一项对泸县睿鑫建筑机械安装有限公司罚款人民币10000.00元（大写：壹万元整）的行政处罚</w:t>
            </w:r>
          </w:p>
        </w:tc>
        <w:tc>
          <w:tcPr>
            <w:tcW w:w="1960" w:type="dxa"/>
            <w:shd w:val="clear" w:color="auto" w:fill="auto"/>
            <w:vAlign w:val="center"/>
          </w:tcPr>
          <w:p>
            <w:pPr>
              <w:jc w:val="both"/>
              <w:rPr>
                <w:rFonts w:hint="eastAsia" w:ascii="仿宋_GB2312" w:hAnsi="仿宋_GB2312" w:eastAsia="仿宋_GB2312" w:cs="仿宋_GB2312"/>
              </w:rPr>
            </w:pPr>
            <w:r>
              <w:rPr>
                <w:rFonts w:hint="eastAsia" w:ascii="仿宋_GB2312" w:hAnsi="仿宋_GB2312" w:eastAsia="仿宋_GB2312" w:cs="仿宋_GB2312"/>
                <w:lang w:val="en-US" w:eastAsia="zh-CN"/>
              </w:rPr>
              <w:t>60日内向泸州市城市管理行政执法局或泸县人民政府申请行政复议，或者在收到本决定书之日起12个月内向泸县人民法院起诉</w:t>
            </w:r>
          </w:p>
        </w:tc>
        <w:tc>
          <w:tcPr>
            <w:tcW w:w="1295" w:type="dxa"/>
            <w:shd w:val="clear" w:color="auto" w:fill="auto"/>
            <w:vAlign w:val="center"/>
          </w:tcPr>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2021/2/3</w:t>
            </w:r>
          </w:p>
        </w:tc>
        <w:tc>
          <w:tcPr>
            <w:tcW w:w="561" w:type="dxa"/>
            <w:shd w:val="clear" w:color="auto" w:fill="auto"/>
            <w:vAlign w:val="center"/>
          </w:tcPr>
          <w:p>
            <w:pPr>
              <w:jc w:val="both"/>
              <w:rPr>
                <w:rFonts w:hint="eastAsia" w:ascii="仿宋_GB2312" w:hAnsi="仿宋_GB2312" w:eastAsia="仿宋_GB2312" w:cs="仿宋_GB2312"/>
              </w:rPr>
            </w:pPr>
          </w:p>
        </w:tc>
      </w:tr>
    </w:tbl>
    <w:p/>
    <w:p>
      <w:pPr>
        <w:jc w:val="center"/>
        <w:rPr>
          <w:rFonts w:ascii="方正小标宋_GBK" w:eastAsia="方正小标宋_GBK"/>
          <w:sz w:val="44"/>
        </w:rPr>
        <w:sectPr>
          <w:pgSz w:w="16838" w:h="11906" w:orient="landscape"/>
          <w:pgMar w:top="1800" w:right="1440" w:bottom="1800" w:left="1440" w:header="851" w:footer="992" w:gutter="0"/>
          <w:cols w:space="425" w:num="1"/>
          <w:docGrid w:type="lines" w:linePitch="312" w:charSpace="0"/>
        </w:sectPr>
      </w:pPr>
    </w:p>
    <w:p>
      <w:pPr>
        <w:jc w:val="center"/>
        <w:rPr>
          <w:rFonts w:hint="eastAsia" w:ascii="方正小标宋_GBK" w:eastAsia="方正小标宋_GBK"/>
          <w:sz w:val="44"/>
          <w:lang w:eastAsia="zh-CN"/>
        </w:rPr>
      </w:pPr>
      <w:r>
        <w:rPr>
          <w:rFonts w:hint="eastAsia" w:ascii="方正小标宋_GBK" w:eastAsia="方正小标宋_GBK"/>
          <w:sz w:val="44"/>
          <w:lang w:eastAsia="zh-CN"/>
        </w:rPr>
        <w:drawing>
          <wp:inline distT="0" distB="0" distL="114300" distR="114300">
            <wp:extent cx="4603115" cy="6136005"/>
            <wp:effectExtent l="0" t="0" r="6985" b="17145"/>
            <wp:docPr id="12" name="图片 12" descr="攀枝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攀枝花-5"/>
                    <pic:cNvPicPr>
                      <a:picLocks noChangeAspect="1"/>
                    </pic:cNvPicPr>
                  </pic:nvPicPr>
                  <pic:blipFill>
                    <a:blip r:embed="rId4">
                      <a:lum bright="18000"/>
                    </a:blip>
                    <a:stretch>
                      <a:fillRect/>
                    </a:stretch>
                  </pic:blipFill>
                  <pic:spPr>
                    <a:xfrm>
                      <a:off x="0" y="0"/>
                      <a:ext cx="4603115" cy="6136005"/>
                    </a:xfrm>
                    <a:prstGeom prst="rect">
                      <a:avLst/>
                    </a:prstGeom>
                  </pic:spPr>
                </pic:pic>
              </a:graphicData>
            </a:graphic>
          </wp:inline>
        </w:drawing>
      </w:r>
      <w:r>
        <w:rPr>
          <w:rFonts w:hint="eastAsia" w:ascii="方正小标宋_GBK" w:eastAsia="方正小标宋_GBK"/>
          <w:sz w:val="44"/>
          <w:lang w:eastAsia="zh-CN"/>
        </w:rPr>
        <w:drawing>
          <wp:inline distT="0" distB="0" distL="114300" distR="114300">
            <wp:extent cx="4628515" cy="6170295"/>
            <wp:effectExtent l="0" t="0" r="635" b="1905"/>
            <wp:docPr id="16" name="图片 16" descr="兆雅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兆雅加油站"/>
                    <pic:cNvPicPr>
                      <a:picLocks noChangeAspect="1"/>
                    </pic:cNvPicPr>
                  </pic:nvPicPr>
                  <pic:blipFill>
                    <a:blip r:embed="rId5">
                      <a:lum bright="12000"/>
                    </a:blip>
                    <a:stretch>
                      <a:fillRect/>
                    </a:stretch>
                  </pic:blipFill>
                  <pic:spPr>
                    <a:xfrm>
                      <a:off x="0" y="0"/>
                      <a:ext cx="4628515" cy="6170295"/>
                    </a:xfrm>
                    <a:prstGeom prst="rect">
                      <a:avLst/>
                    </a:prstGeom>
                  </pic:spPr>
                </pic:pic>
              </a:graphicData>
            </a:graphic>
          </wp:inline>
        </w:drawing>
      </w:r>
      <w:r>
        <w:rPr>
          <w:rFonts w:hint="eastAsia" w:ascii="方正小标宋_GBK" w:eastAsia="方正小标宋_GBK"/>
          <w:sz w:val="44"/>
          <w:lang w:eastAsia="zh-CN"/>
        </w:rPr>
        <w:drawing>
          <wp:inline distT="0" distB="0" distL="114300" distR="114300">
            <wp:extent cx="4635500" cy="6179185"/>
            <wp:effectExtent l="0" t="0" r="12700" b="12065"/>
            <wp:docPr id="15" name="图片 15" descr="博咨公司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博咨公司_看图王"/>
                    <pic:cNvPicPr>
                      <a:picLocks noChangeAspect="1"/>
                    </pic:cNvPicPr>
                  </pic:nvPicPr>
                  <pic:blipFill>
                    <a:blip r:embed="rId6"/>
                    <a:stretch>
                      <a:fillRect/>
                    </a:stretch>
                  </pic:blipFill>
                  <pic:spPr>
                    <a:xfrm>
                      <a:off x="0" y="0"/>
                      <a:ext cx="4635500" cy="6179185"/>
                    </a:xfrm>
                    <a:prstGeom prst="rect">
                      <a:avLst/>
                    </a:prstGeom>
                  </pic:spPr>
                </pic:pic>
              </a:graphicData>
            </a:graphic>
          </wp:inline>
        </w:drawing>
      </w:r>
      <w:r>
        <w:rPr>
          <w:rFonts w:hint="eastAsia" w:ascii="方正小标宋_GBK" w:eastAsia="方正小标宋_GBK"/>
          <w:sz w:val="44"/>
          <w:lang w:eastAsia="zh-CN"/>
        </w:rPr>
        <w:drawing>
          <wp:inline distT="0" distB="0" distL="114300" distR="114300">
            <wp:extent cx="4788535" cy="6383655"/>
            <wp:effectExtent l="0" t="0" r="12065" b="17145"/>
            <wp:docPr id="14" name="图片 14" descr="博咨李志刚-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博咨李志刚-1_看图王"/>
                    <pic:cNvPicPr>
                      <a:picLocks noChangeAspect="1"/>
                    </pic:cNvPicPr>
                  </pic:nvPicPr>
                  <pic:blipFill>
                    <a:blip r:embed="rId7"/>
                    <a:stretch>
                      <a:fillRect/>
                    </a:stretch>
                  </pic:blipFill>
                  <pic:spPr>
                    <a:xfrm>
                      <a:off x="0" y="0"/>
                      <a:ext cx="4788535" cy="6383655"/>
                    </a:xfrm>
                    <a:prstGeom prst="rect">
                      <a:avLst/>
                    </a:prstGeom>
                  </pic:spPr>
                </pic:pic>
              </a:graphicData>
            </a:graphic>
          </wp:inline>
        </w:drawing>
      </w:r>
      <w:r>
        <w:rPr>
          <w:rFonts w:hint="eastAsia" w:ascii="方正小标宋_GBK" w:eastAsia="方正小标宋_GBK"/>
          <w:sz w:val="44"/>
          <w:lang w:eastAsia="zh-CN"/>
        </w:rPr>
        <w:drawing>
          <wp:inline distT="0" distB="0" distL="114300" distR="114300">
            <wp:extent cx="4362450" cy="6644005"/>
            <wp:effectExtent l="0" t="0" r="0" b="4445"/>
            <wp:docPr id="13" name="图片 13" descr="康润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康润_看图王"/>
                    <pic:cNvPicPr>
                      <a:picLocks noChangeAspect="1"/>
                    </pic:cNvPicPr>
                  </pic:nvPicPr>
                  <pic:blipFill>
                    <a:blip r:embed="rId8"/>
                    <a:stretch>
                      <a:fillRect/>
                    </a:stretch>
                  </pic:blipFill>
                  <pic:spPr>
                    <a:xfrm>
                      <a:off x="0" y="0"/>
                      <a:ext cx="4362450" cy="6644005"/>
                    </a:xfrm>
                    <a:prstGeom prst="rect">
                      <a:avLst/>
                    </a:prstGeom>
                  </pic:spPr>
                </pic:pic>
              </a:graphicData>
            </a:graphic>
          </wp:inline>
        </w:drawing>
      </w:r>
      <w:r>
        <w:rPr>
          <w:rFonts w:hint="eastAsia" w:ascii="方正小标宋_GBK" w:eastAsia="方正小标宋_GBK"/>
          <w:sz w:val="44"/>
          <w:lang w:eastAsia="zh-CN"/>
        </w:rPr>
        <w:drawing>
          <wp:inline distT="0" distB="0" distL="114300" distR="114300">
            <wp:extent cx="5001895" cy="6667500"/>
            <wp:effectExtent l="0" t="0" r="8255" b="0"/>
            <wp:docPr id="11" name="图片 11" descr="彭彬-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彭彬-6"/>
                    <pic:cNvPicPr>
                      <a:picLocks noChangeAspect="1"/>
                    </pic:cNvPicPr>
                  </pic:nvPicPr>
                  <pic:blipFill>
                    <a:blip r:embed="rId9">
                      <a:lum bright="12000" contrast="6000"/>
                    </a:blip>
                    <a:stretch>
                      <a:fillRect/>
                    </a:stretch>
                  </pic:blipFill>
                  <pic:spPr>
                    <a:xfrm>
                      <a:off x="0" y="0"/>
                      <a:ext cx="5001895" cy="6667500"/>
                    </a:xfrm>
                    <a:prstGeom prst="rect">
                      <a:avLst/>
                    </a:prstGeom>
                  </pic:spPr>
                </pic:pic>
              </a:graphicData>
            </a:graphic>
          </wp:inline>
        </w:drawing>
      </w:r>
      <w:r>
        <w:rPr>
          <w:rFonts w:hint="eastAsia" w:ascii="方正小标宋_GBK" w:eastAsia="方正小标宋_GBK"/>
          <w:sz w:val="44"/>
          <w:lang w:eastAsia="zh-CN"/>
        </w:rPr>
        <w:drawing>
          <wp:inline distT="0" distB="0" distL="114300" distR="114300">
            <wp:extent cx="4679315" cy="6237605"/>
            <wp:effectExtent l="0" t="0" r="6985" b="10795"/>
            <wp:docPr id="10" name="图片 10" descr="睿鑫机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睿鑫机械-3"/>
                    <pic:cNvPicPr>
                      <a:picLocks noChangeAspect="1"/>
                    </pic:cNvPicPr>
                  </pic:nvPicPr>
                  <pic:blipFill>
                    <a:blip r:embed="rId10"/>
                    <a:stretch>
                      <a:fillRect/>
                    </a:stretch>
                  </pic:blipFill>
                  <pic:spPr>
                    <a:xfrm>
                      <a:off x="0" y="0"/>
                      <a:ext cx="4679315" cy="6237605"/>
                    </a:xfrm>
                    <a:prstGeom prst="rect">
                      <a:avLst/>
                    </a:prstGeom>
                  </pic:spPr>
                </pic:pic>
              </a:graphicData>
            </a:graphic>
          </wp:inline>
        </w:drawing>
      </w:r>
    </w:p>
    <w:sectPr>
      <w:pgSz w:w="16838" w:h="11906" w:orient="landscape"/>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4F5"/>
    <w:rsid w:val="000249E7"/>
    <w:rsid w:val="00035FFE"/>
    <w:rsid w:val="00064DF9"/>
    <w:rsid w:val="000F726B"/>
    <w:rsid w:val="001A3D82"/>
    <w:rsid w:val="002700EB"/>
    <w:rsid w:val="002C78F8"/>
    <w:rsid w:val="00300A27"/>
    <w:rsid w:val="00347A42"/>
    <w:rsid w:val="004536EF"/>
    <w:rsid w:val="004C1DBA"/>
    <w:rsid w:val="005C753F"/>
    <w:rsid w:val="00605265"/>
    <w:rsid w:val="00627B74"/>
    <w:rsid w:val="006733C2"/>
    <w:rsid w:val="00675945"/>
    <w:rsid w:val="00685106"/>
    <w:rsid w:val="006E2470"/>
    <w:rsid w:val="006F007A"/>
    <w:rsid w:val="007B63BF"/>
    <w:rsid w:val="00812053"/>
    <w:rsid w:val="00852C96"/>
    <w:rsid w:val="009E2E2A"/>
    <w:rsid w:val="00A13263"/>
    <w:rsid w:val="00AB464D"/>
    <w:rsid w:val="00B933C0"/>
    <w:rsid w:val="00C20071"/>
    <w:rsid w:val="00D07867"/>
    <w:rsid w:val="00D444E5"/>
    <w:rsid w:val="00DE6167"/>
    <w:rsid w:val="00E264F5"/>
    <w:rsid w:val="00E560D4"/>
    <w:rsid w:val="00E56C7F"/>
    <w:rsid w:val="00F36793"/>
    <w:rsid w:val="00FB47A7"/>
    <w:rsid w:val="00FD3E87"/>
    <w:rsid w:val="00FD4166"/>
    <w:rsid w:val="00FF17A5"/>
    <w:rsid w:val="0D78385E"/>
    <w:rsid w:val="0FE44845"/>
    <w:rsid w:val="121338B8"/>
    <w:rsid w:val="131C2280"/>
    <w:rsid w:val="155E3779"/>
    <w:rsid w:val="22733CB2"/>
    <w:rsid w:val="28DD42E4"/>
    <w:rsid w:val="2EE83D7E"/>
    <w:rsid w:val="2FFF3C0D"/>
    <w:rsid w:val="3E482482"/>
    <w:rsid w:val="3FA9525E"/>
    <w:rsid w:val="41A969FD"/>
    <w:rsid w:val="46456ABE"/>
    <w:rsid w:val="48501625"/>
    <w:rsid w:val="4B09514E"/>
    <w:rsid w:val="4DFD383D"/>
    <w:rsid w:val="57C9739A"/>
    <w:rsid w:val="5F67007F"/>
    <w:rsid w:val="73EB6123"/>
    <w:rsid w:val="781708D3"/>
    <w:rsid w:val="7D703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link w:val="14"/>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2">
    <w:name w:val="heading 3"/>
    <w:basedOn w:val="1"/>
    <w:next w:val="1"/>
    <w:qFormat/>
    <w:uiPriority w:val="9"/>
    <w:pPr>
      <w:keepNext/>
      <w:keepLines/>
      <w:spacing w:before="260" w:after="260" w:line="413" w:lineRule="auto"/>
      <w:jc w:val="center"/>
      <w:outlineLvl w:val="2"/>
    </w:pPr>
    <w:rPr>
      <w:rFonts w:ascii="宋体"/>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样式1"/>
    <w:basedOn w:val="1"/>
    <w:link w:val="9"/>
    <w:qFormat/>
    <w:uiPriority w:val="0"/>
    <w:pPr>
      <w:adjustRightInd w:val="0"/>
      <w:snapToGrid w:val="0"/>
      <w:spacing w:line="700" w:lineRule="exact"/>
      <w:jc w:val="center"/>
    </w:pPr>
    <w:rPr>
      <w:rFonts w:ascii="方正小标宋_GBK" w:hAnsi="等线" w:eastAsia="方正小标宋_GBK" w:cs="Times New Roman"/>
      <w:sz w:val="44"/>
      <w:szCs w:val="44"/>
    </w:rPr>
  </w:style>
  <w:style w:type="character" w:customStyle="1" w:styleId="9">
    <w:name w:val="样式1 Char"/>
    <w:basedOn w:val="7"/>
    <w:link w:val="8"/>
    <w:qFormat/>
    <w:uiPriority w:val="0"/>
    <w:rPr>
      <w:rFonts w:ascii="方正小标宋_GBK" w:hAnsi="等线" w:eastAsia="方正小标宋_GBK" w:cs="Times New Roman"/>
      <w:sz w:val="44"/>
      <w:szCs w:val="44"/>
    </w:rPr>
  </w:style>
  <w:style w:type="paragraph" w:customStyle="1" w:styleId="10">
    <w:name w:val="样式2"/>
    <w:basedOn w:val="1"/>
    <w:link w:val="11"/>
    <w:qFormat/>
    <w:uiPriority w:val="0"/>
    <w:pPr>
      <w:adjustRightInd w:val="0"/>
      <w:snapToGrid w:val="0"/>
      <w:spacing w:line="580" w:lineRule="exact"/>
      <w:ind w:firstLine="640" w:firstLineChars="200"/>
    </w:pPr>
    <w:rPr>
      <w:rFonts w:ascii="仿宋_GB2312" w:hAnsi="等线" w:eastAsia="仿宋_GB2312" w:cs="Times New Roman"/>
      <w:sz w:val="32"/>
      <w:szCs w:val="32"/>
    </w:rPr>
  </w:style>
  <w:style w:type="character" w:customStyle="1" w:styleId="11">
    <w:name w:val="样式2 Char"/>
    <w:basedOn w:val="7"/>
    <w:link w:val="10"/>
    <w:qFormat/>
    <w:uiPriority w:val="0"/>
    <w:rPr>
      <w:rFonts w:ascii="仿宋_GB2312" w:hAnsi="等线" w:eastAsia="仿宋_GB2312" w:cs="Times New Roman"/>
      <w:sz w:val="32"/>
      <w:szCs w:val="32"/>
    </w:rPr>
  </w:style>
  <w:style w:type="paragraph" w:customStyle="1" w:styleId="12">
    <w:name w:val="样式3"/>
    <w:basedOn w:val="1"/>
    <w:link w:val="13"/>
    <w:qFormat/>
    <w:uiPriority w:val="0"/>
    <w:pPr>
      <w:adjustRightInd w:val="0"/>
      <w:snapToGrid w:val="0"/>
      <w:spacing w:beforeLines="50" w:line="580" w:lineRule="exact"/>
      <w:ind w:firstLine="640" w:firstLineChars="200"/>
      <w:jc w:val="left"/>
    </w:pPr>
    <w:rPr>
      <w:rFonts w:ascii="黑体" w:hAnsi="黑体" w:eastAsia="黑体" w:cs="Times New Roman"/>
      <w:sz w:val="32"/>
      <w:szCs w:val="32"/>
    </w:rPr>
  </w:style>
  <w:style w:type="character" w:customStyle="1" w:styleId="13">
    <w:name w:val="样式3 Char"/>
    <w:basedOn w:val="7"/>
    <w:link w:val="12"/>
    <w:qFormat/>
    <w:uiPriority w:val="0"/>
    <w:rPr>
      <w:rFonts w:ascii="黑体" w:hAnsi="黑体" w:eastAsia="黑体" w:cs="Times New Roman"/>
      <w:sz w:val="32"/>
      <w:szCs w:val="32"/>
    </w:rPr>
  </w:style>
  <w:style w:type="character" w:customStyle="1" w:styleId="14">
    <w:name w:val="标题 2 字符"/>
    <w:basedOn w:val="7"/>
    <w:link w:val="3"/>
    <w:qFormat/>
    <w:uiPriority w:val="9"/>
    <w:rPr>
      <w:rFonts w:ascii="宋体" w:hAnsi="宋体" w:eastAsia="宋体" w:cs="宋体"/>
      <w:b/>
      <w:bCs/>
      <w:kern w:val="0"/>
      <w:sz w:val="36"/>
      <w:szCs w:val="36"/>
    </w:rPr>
  </w:style>
  <w:style w:type="character" w:customStyle="1" w:styleId="15">
    <w:name w:val="页眉 字符"/>
    <w:basedOn w:val="7"/>
    <w:link w:val="5"/>
    <w:qFormat/>
    <w:uiPriority w:val="99"/>
    <w:rPr>
      <w:rFonts w:asciiTheme="minorHAnsi" w:hAnsiTheme="minorHAnsi" w:eastAsiaTheme="minorEastAsia" w:cstheme="minorBidi"/>
      <w:kern w:val="2"/>
      <w:sz w:val="18"/>
      <w:szCs w:val="18"/>
    </w:rPr>
  </w:style>
  <w:style w:type="character" w:customStyle="1" w:styleId="16">
    <w:name w:val="页脚 字符"/>
    <w:basedOn w:val="7"/>
    <w:link w:val="4"/>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51</Words>
  <Characters>293</Characters>
  <Lines>2</Lines>
  <Paragraphs>1</Paragraphs>
  <TotalTime>1</TotalTime>
  <ScaleCrop>false</ScaleCrop>
  <LinksUpToDate>false</LinksUpToDate>
  <CharactersWithSpaces>343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2019-08-31T08:56:00Z</dcterms:created>
  <dc:creator>Administrator</dc:creator>
  <cp:lastModifiedBy>Administrator</cp:lastModifiedBy>
  <dcterms:modified xsi:type="dcterms:W3CDTF">2021-04-16T02:11:21Z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1F450FA25DEE4940B1CD211CDD334AEF</vt:lpwstr>
  </property>
</Properties>
</file>